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CDEEE" w14:textId="77777777" w:rsidR="000334BF" w:rsidRDefault="00000000">
      <w:pPr>
        <w:jc w:val="center"/>
      </w:pPr>
      <w:r>
        <w:rPr>
          <w:b/>
        </w:rPr>
        <w:t>Zestawienie nazw pierwotnych oraz opisów ogólnych (bez marek)</w:t>
      </w:r>
    </w:p>
    <w:p w14:paraId="58F133BD" w14:textId="77777777" w:rsidR="000334BF" w:rsidRDefault="00000000">
      <w:pPr>
        <w:jc w:val="center"/>
      </w:pPr>
      <w:r>
        <w:t>Inwestycja: Stronie Śląskie</w:t>
      </w:r>
    </w:p>
    <w:p w14:paraId="385ACD5A" w14:textId="77777777" w:rsidR="000334BF" w:rsidRDefault="00000000">
      <w:r>
        <w:t>Uwaga: W celu zachowania neutralności rynkowej nazwy handlowe/nazwy własne przedstawiono wraz z opisami ogólnymi wynikającymi z właściwości. Dopuszcza się zastosowanie wyrobów równoważnych o parametrach nie gorszych.</w:t>
      </w:r>
    </w:p>
    <w:p w14:paraId="0E84BA8F" w14:textId="77777777" w:rsidR="000334BF" w:rsidRDefault="000334BF"/>
    <w:p w14:paraId="14F5B0A8" w14:textId="77777777" w:rsidR="000334BF" w:rsidRDefault="00000000">
      <w:r>
        <w:rPr>
          <w:b/>
        </w:rPr>
        <w:t>1. Projekt instalacji elektrycznych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77"/>
        <w:gridCol w:w="3475"/>
        <w:gridCol w:w="4378"/>
      </w:tblGrid>
      <w:tr w:rsidR="000334BF" w14:paraId="7EFD8508" w14:textId="77777777">
        <w:trPr>
          <w:jc w:val="center"/>
        </w:trPr>
        <w:tc>
          <w:tcPr>
            <w:tcW w:w="850" w:type="dxa"/>
            <w:vAlign w:val="center"/>
          </w:tcPr>
          <w:p w14:paraId="3086D30E" w14:textId="77777777" w:rsidR="000334BF" w:rsidRDefault="00000000">
            <w:r>
              <w:rPr>
                <w:b/>
              </w:rPr>
              <w:t>Nr</w:t>
            </w:r>
          </w:p>
        </w:tc>
        <w:tc>
          <w:tcPr>
            <w:tcW w:w="3969" w:type="dxa"/>
            <w:vAlign w:val="center"/>
          </w:tcPr>
          <w:p w14:paraId="3F5B9880" w14:textId="77777777" w:rsidR="000334BF" w:rsidRDefault="00000000">
            <w:r>
              <w:rPr>
                <w:b/>
              </w:rPr>
              <w:t>Nazwa pierwotna (z pliku)</w:t>
            </w:r>
          </w:p>
        </w:tc>
        <w:tc>
          <w:tcPr>
            <w:tcW w:w="5102" w:type="dxa"/>
            <w:vAlign w:val="center"/>
          </w:tcPr>
          <w:p w14:paraId="37F64D3A" w14:textId="77777777" w:rsidR="000334BF" w:rsidRDefault="00000000">
            <w:r>
              <w:rPr>
                <w:b/>
              </w:rPr>
              <w:t>Opis ogólny (bez marek)</w:t>
            </w:r>
          </w:p>
        </w:tc>
      </w:tr>
      <w:tr w:rsidR="000334BF" w14:paraId="68B2C758" w14:textId="77777777">
        <w:trPr>
          <w:jc w:val="center"/>
        </w:trPr>
        <w:tc>
          <w:tcPr>
            <w:tcW w:w="850" w:type="dxa"/>
          </w:tcPr>
          <w:p w14:paraId="5EE57160" w14:textId="77777777" w:rsidR="000334BF" w:rsidRDefault="00000000">
            <w:r>
              <w:t>1.1</w:t>
            </w:r>
          </w:p>
        </w:tc>
        <w:tc>
          <w:tcPr>
            <w:tcW w:w="3969" w:type="dxa"/>
          </w:tcPr>
          <w:p w14:paraId="233B5841" w14:textId="77777777" w:rsidR="000334BF" w:rsidRDefault="00000000">
            <w:r>
              <w:t>instalacja fotowoltaiczna KS405-415MB5-SBS f-my KENSOL</w:t>
            </w:r>
          </w:p>
        </w:tc>
        <w:tc>
          <w:tcPr>
            <w:tcW w:w="5102" w:type="dxa"/>
          </w:tcPr>
          <w:p w14:paraId="36B56A10" w14:textId="77777777" w:rsidR="000334BF" w:rsidRDefault="00000000">
            <w:r>
              <w:t>Instalacja fotowoltaiczna – moduły fotowoltaiczne o mocy jednostkowej ok. 405–415 Wp; dopuszcza się wyroby równoważne o parametrach nie gorszych.</w:t>
            </w:r>
          </w:p>
        </w:tc>
      </w:tr>
      <w:tr w:rsidR="000334BF" w14:paraId="2E4E8915" w14:textId="77777777">
        <w:trPr>
          <w:jc w:val="center"/>
        </w:trPr>
        <w:tc>
          <w:tcPr>
            <w:tcW w:w="850" w:type="dxa"/>
          </w:tcPr>
          <w:p w14:paraId="2D966B83" w14:textId="77777777" w:rsidR="000334BF" w:rsidRDefault="00000000">
            <w:r>
              <w:t>1.2</w:t>
            </w:r>
          </w:p>
        </w:tc>
        <w:tc>
          <w:tcPr>
            <w:tcW w:w="3969" w:type="dxa"/>
          </w:tcPr>
          <w:p w14:paraId="7EA753AF" w14:textId="77777777" w:rsidR="000334BF" w:rsidRDefault="00000000">
            <w:r>
              <w:t>oprawa LED Plafon 6W</w:t>
            </w:r>
          </w:p>
        </w:tc>
        <w:tc>
          <w:tcPr>
            <w:tcW w:w="5102" w:type="dxa"/>
          </w:tcPr>
          <w:p w14:paraId="74424B45" w14:textId="77777777" w:rsidR="000334BF" w:rsidRDefault="00000000">
            <w:r>
              <w:t>Oprawa LED plafonowa (sufitowa) o mocy ok. 6 W; dopuszcza się wyroby równoważne o parametrach nie gorszych.</w:t>
            </w:r>
          </w:p>
        </w:tc>
      </w:tr>
      <w:tr w:rsidR="000334BF" w14:paraId="64CAFF4A" w14:textId="77777777">
        <w:trPr>
          <w:jc w:val="center"/>
        </w:trPr>
        <w:tc>
          <w:tcPr>
            <w:tcW w:w="850" w:type="dxa"/>
          </w:tcPr>
          <w:p w14:paraId="15EDBD94" w14:textId="77777777" w:rsidR="000334BF" w:rsidRDefault="00000000">
            <w:r>
              <w:t>1.3</w:t>
            </w:r>
          </w:p>
        </w:tc>
        <w:tc>
          <w:tcPr>
            <w:tcW w:w="3969" w:type="dxa"/>
          </w:tcPr>
          <w:p w14:paraId="5C8E8D2A" w14:textId="77777777" w:rsidR="000334BF" w:rsidRDefault="00000000">
            <w:r>
              <w:t>oprawa LED z czujnikiem RDR 12-15W</w:t>
            </w:r>
          </w:p>
        </w:tc>
        <w:tc>
          <w:tcPr>
            <w:tcW w:w="5102" w:type="dxa"/>
          </w:tcPr>
          <w:p w14:paraId="63CA5926" w14:textId="77777777" w:rsidR="000334BF" w:rsidRDefault="00000000">
            <w:r>
              <w:t>Oprawa LED z wbudowanym czujnikiem ruchu i/lub zmierzchu o mocy 12–15 W; dopuszcza się wyroby równoważne o parametrach nie gorszych.</w:t>
            </w:r>
          </w:p>
        </w:tc>
      </w:tr>
      <w:tr w:rsidR="000334BF" w14:paraId="00702E54" w14:textId="77777777">
        <w:trPr>
          <w:jc w:val="center"/>
        </w:trPr>
        <w:tc>
          <w:tcPr>
            <w:tcW w:w="850" w:type="dxa"/>
          </w:tcPr>
          <w:p w14:paraId="5AB096B8" w14:textId="77777777" w:rsidR="000334BF" w:rsidRDefault="00000000">
            <w:r>
              <w:t>1.4</w:t>
            </w:r>
          </w:p>
        </w:tc>
        <w:tc>
          <w:tcPr>
            <w:tcW w:w="3969" w:type="dxa"/>
          </w:tcPr>
          <w:p w14:paraId="4392ECB5" w14:textId="77777777" w:rsidR="000334BF" w:rsidRDefault="00000000">
            <w:r>
              <w:t>oprawa LED numeru zewnętrznego IP54 6W</w:t>
            </w:r>
          </w:p>
        </w:tc>
        <w:tc>
          <w:tcPr>
            <w:tcW w:w="5102" w:type="dxa"/>
          </w:tcPr>
          <w:p w14:paraId="768FA9C0" w14:textId="77777777" w:rsidR="000334BF" w:rsidRDefault="00000000">
            <w:r>
              <w:t>Zewnętrzna oprawa LED do podświetlenia numeru; stopień ochrony min. IP54; moc ok. 6 W; dopuszcza się wyroby równoważne o parametrach nie gorszych.</w:t>
            </w:r>
          </w:p>
        </w:tc>
      </w:tr>
      <w:tr w:rsidR="000334BF" w14:paraId="01AD33B9" w14:textId="77777777">
        <w:trPr>
          <w:jc w:val="center"/>
        </w:trPr>
        <w:tc>
          <w:tcPr>
            <w:tcW w:w="850" w:type="dxa"/>
          </w:tcPr>
          <w:p w14:paraId="6AADFE7E" w14:textId="77777777" w:rsidR="000334BF" w:rsidRDefault="00000000">
            <w:r>
              <w:t>1.5</w:t>
            </w:r>
          </w:p>
        </w:tc>
        <w:tc>
          <w:tcPr>
            <w:tcW w:w="3969" w:type="dxa"/>
          </w:tcPr>
          <w:p w14:paraId="30090789" w14:textId="77777777" w:rsidR="000334BF" w:rsidRDefault="00000000">
            <w:r>
              <w:t>oprawa LED 36W</w:t>
            </w:r>
          </w:p>
        </w:tc>
        <w:tc>
          <w:tcPr>
            <w:tcW w:w="5102" w:type="dxa"/>
          </w:tcPr>
          <w:p w14:paraId="6572D6F4" w14:textId="77777777" w:rsidR="000334BF" w:rsidRDefault="00000000">
            <w:r>
              <w:t>Oprawa LED o mocy ok. 36 W; dopuszcza się wyroby równoważne o parametrach nie gorszych.</w:t>
            </w:r>
          </w:p>
        </w:tc>
      </w:tr>
    </w:tbl>
    <w:p w14:paraId="6CA5F4F4" w14:textId="77777777" w:rsidR="000334BF" w:rsidRDefault="000334BF"/>
    <w:p w14:paraId="35B3300D" w14:textId="77777777" w:rsidR="000334BF" w:rsidRDefault="00000000">
      <w:r>
        <w:rPr>
          <w:b/>
        </w:rPr>
        <w:t>2. Projekt zagospodarowania działki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52"/>
        <w:gridCol w:w="3275"/>
        <w:gridCol w:w="4603"/>
      </w:tblGrid>
      <w:tr w:rsidR="000334BF" w14:paraId="2533B1AD" w14:textId="77777777">
        <w:trPr>
          <w:jc w:val="center"/>
        </w:trPr>
        <w:tc>
          <w:tcPr>
            <w:tcW w:w="850" w:type="dxa"/>
            <w:vAlign w:val="center"/>
          </w:tcPr>
          <w:p w14:paraId="3647336C" w14:textId="77777777" w:rsidR="000334BF" w:rsidRDefault="00000000">
            <w:r>
              <w:rPr>
                <w:b/>
              </w:rPr>
              <w:t>Nr</w:t>
            </w:r>
          </w:p>
        </w:tc>
        <w:tc>
          <w:tcPr>
            <w:tcW w:w="3969" w:type="dxa"/>
            <w:vAlign w:val="center"/>
          </w:tcPr>
          <w:p w14:paraId="648C81C3" w14:textId="77777777" w:rsidR="000334BF" w:rsidRDefault="00000000">
            <w:r>
              <w:rPr>
                <w:b/>
              </w:rPr>
              <w:t>Nazwa pierwotna (z pliku)</w:t>
            </w:r>
          </w:p>
        </w:tc>
        <w:tc>
          <w:tcPr>
            <w:tcW w:w="5102" w:type="dxa"/>
            <w:vAlign w:val="center"/>
          </w:tcPr>
          <w:p w14:paraId="7D5AF346" w14:textId="77777777" w:rsidR="000334BF" w:rsidRDefault="00000000">
            <w:r>
              <w:rPr>
                <w:b/>
              </w:rPr>
              <w:t>Opis ogólny (bez marek)</w:t>
            </w:r>
          </w:p>
        </w:tc>
      </w:tr>
      <w:tr w:rsidR="000334BF" w14:paraId="6298CD01" w14:textId="77777777">
        <w:trPr>
          <w:jc w:val="center"/>
        </w:trPr>
        <w:tc>
          <w:tcPr>
            <w:tcW w:w="850" w:type="dxa"/>
          </w:tcPr>
          <w:p w14:paraId="4B340D64" w14:textId="77777777" w:rsidR="000334BF" w:rsidRDefault="00000000">
            <w:r>
              <w:t>2.1</w:t>
            </w:r>
          </w:p>
        </w:tc>
        <w:tc>
          <w:tcPr>
            <w:tcW w:w="3969" w:type="dxa"/>
          </w:tcPr>
          <w:p w14:paraId="26F2A379" w14:textId="77777777" w:rsidR="000334BF" w:rsidRDefault="00000000">
            <w:r>
              <w:t>warstwa Eurolan 3K lub 2 x Abizol R + P</w:t>
            </w:r>
          </w:p>
        </w:tc>
        <w:tc>
          <w:tcPr>
            <w:tcW w:w="5102" w:type="dxa"/>
          </w:tcPr>
          <w:p w14:paraId="4576333F" w14:textId="77777777" w:rsidR="000334BF" w:rsidRDefault="00000000">
            <w:r>
              <w:t>Warstwa izolacji przeciwwilgociowej na bazie bitumu: masa KMB (2‑ lub 3‑składnikowa) albo układ 2× (grunt/roztwór asfaltowy + lepik/masa bitumiczna); dopuszcza się wyroby równoważne o parametrach nie gorszych.</w:t>
            </w:r>
          </w:p>
        </w:tc>
      </w:tr>
      <w:tr w:rsidR="000334BF" w14:paraId="7E245D4D" w14:textId="77777777">
        <w:trPr>
          <w:jc w:val="center"/>
        </w:trPr>
        <w:tc>
          <w:tcPr>
            <w:tcW w:w="850" w:type="dxa"/>
          </w:tcPr>
          <w:p w14:paraId="1AFD8664" w14:textId="77777777" w:rsidR="000334BF" w:rsidRDefault="00000000">
            <w:r>
              <w:t>2.2</w:t>
            </w:r>
          </w:p>
        </w:tc>
        <w:tc>
          <w:tcPr>
            <w:tcW w:w="3969" w:type="dxa"/>
          </w:tcPr>
          <w:p w14:paraId="0B197ACE" w14:textId="77777777" w:rsidR="000334BF" w:rsidRDefault="00000000">
            <w:r>
              <w:t>izolacja ścian: system DEITERMANN</w:t>
            </w:r>
          </w:p>
        </w:tc>
        <w:tc>
          <w:tcPr>
            <w:tcW w:w="5102" w:type="dxa"/>
          </w:tcPr>
          <w:p w14:paraId="6B88E775" w14:textId="77777777" w:rsidR="000334BF" w:rsidRDefault="00000000">
            <w:r>
              <w:t>Izolacja przeciwwilgociowa/przeciwwodna ścian fundamentowych – system kompatybilnych materiałów (grunt, masa bitumiczna/KMB, taśmy i akcesoria uszczelniające); dopuszcza się wyroby równoważne o parametrach nie gorszych.</w:t>
            </w:r>
          </w:p>
        </w:tc>
      </w:tr>
      <w:tr w:rsidR="000334BF" w14:paraId="402F7707" w14:textId="77777777">
        <w:trPr>
          <w:jc w:val="center"/>
        </w:trPr>
        <w:tc>
          <w:tcPr>
            <w:tcW w:w="850" w:type="dxa"/>
          </w:tcPr>
          <w:p w14:paraId="541C3F18" w14:textId="77777777" w:rsidR="000334BF" w:rsidRDefault="00000000">
            <w:r>
              <w:t>2.3</w:t>
            </w:r>
          </w:p>
        </w:tc>
        <w:tc>
          <w:tcPr>
            <w:tcW w:w="3969" w:type="dxa"/>
          </w:tcPr>
          <w:p w14:paraId="5AAD59C1" w14:textId="77777777" w:rsidR="000334BF" w:rsidRDefault="00000000">
            <w:r>
              <w:t>materiał EUROLAN-3 K – koncentrat bitumicznej emulsji</w:t>
            </w:r>
          </w:p>
        </w:tc>
        <w:tc>
          <w:tcPr>
            <w:tcW w:w="5102" w:type="dxa"/>
          </w:tcPr>
          <w:p w14:paraId="47591961" w14:textId="77777777" w:rsidR="000334BF" w:rsidRDefault="00000000">
            <w:r>
              <w:t xml:space="preserve">Koncentrat bitumicznej emulsji / masa gruntująca do wykonywania izolacji przeciwwilgociowej; </w:t>
            </w:r>
            <w:r>
              <w:lastRenderedPageBreak/>
              <w:t>dopuszcza się wyroby równoważne o parametrach nie gorszych.</w:t>
            </w:r>
          </w:p>
        </w:tc>
      </w:tr>
    </w:tbl>
    <w:p w14:paraId="77F62ABF" w14:textId="77777777" w:rsidR="000334BF" w:rsidRDefault="000334BF"/>
    <w:p w14:paraId="39D2CE1C" w14:textId="77777777" w:rsidR="000334BF" w:rsidRDefault="00000000">
      <w:r>
        <w:rPr>
          <w:b/>
        </w:rPr>
        <w:t>3. Projekt techniczny konstrukcyjny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79"/>
        <w:gridCol w:w="3424"/>
        <w:gridCol w:w="4427"/>
      </w:tblGrid>
      <w:tr w:rsidR="000334BF" w14:paraId="1C93D03E" w14:textId="77777777">
        <w:trPr>
          <w:jc w:val="center"/>
        </w:trPr>
        <w:tc>
          <w:tcPr>
            <w:tcW w:w="850" w:type="dxa"/>
            <w:vAlign w:val="center"/>
          </w:tcPr>
          <w:p w14:paraId="6739D13A" w14:textId="77777777" w:rsidR="000334BF" w:rsidRDefault="00000000">
            <w:r>
              <w:rPr>
                <w:b/>
              </w:rPr>
              <w:t>Nr</w:t>
            </w:r>
          </w:p>
        </w:tc>
        <w:tc>
          <w:tcPr>
            <w:tcW w:w="3969" w:type="dxa"/>
            <w:vAlign w:val="center"/>
          </w:tcPr>
          <w:p w14:paraId="301C7BBB" w14:textId="77777777" w:rsidR="000334BF" w:rsidRDefault="00000000">
            <w:r>
              <w:rPr>
                <w:b/>
              </w:rPr>
              <w:t>Nazwa pierwotna (z pliku)</w:t>
            </w:r>
          </w:p>
        </w:tc>
        <w:tc>
          <w:tcPr>
            <w:tcW w:w="5102" w:type="dxa"/>
            <w:vAlign w:val="center"/>
          </w:tcPr>
          <w:p w14:paraId="4FC390B8" w14:textId="77777777" w:rsidR="000334BF" w:rsidRDefault="00000000">
            <w:r>
              <w:rPr>
                <w:b/>
              </w:rPr>
              <w:t>Opis ogólny (bez marek)</w:t>
            </w:r>
          </w:p>
        </w:tc>
      </w:tr>
      <w:tr w:rsidR="000334BF" w14:paraId="7D3D15B1" w14:textId="77777777">
        <w:trPr>
          <w:jc w:val="center"/>
        </w:trPr>
        <w:tc>
          <w:tcPr>
            <w:tcW w:w="850" w:type="dxa"/>
          </w:tcPr>
          <w:p w14:paraId="6DA8957D" w14:textId="77777777" w:rsidR="000334BF" w:rsidRDefault="00000000">
            <w:r>
              <w:t>3.1</w:t>
            </w:r>
          </w:p>
        </w:tc>
        <w:tc>
          <w:tcPr>
            <w:tcW w:w="3969" w:type="dxa"/>
          </w:tcPr>
          <w:p w14:paraId="777BDABC" w14:textId="77777777" w:rsidR="000334BF" w:rsidRDefault="00000000">
            <w:r>
              <w:t>stropy firmy PREFADOM</w:t>
            </w:r>
          </w:p>
        </w:tc>
        <w:tc>
          <w:tcPr>
            <w:tcW w:w="5102" w:type="dxa"/>
          </w:tcPr>
          <w:p w14:paraId="65836817" w14:textId="77777777" w:rsidR="000334BF" w:rsidRDefault="00000000">
            <w:r>
              <w:t>Stropy prefabrykowane żelbetowe (system prefabrykowany) o nośności i parametrach użytkowych zgodnych z projektem; dopuszcza się wyroby równoważne o parametrach nie gorszych.</w:t>
            </w:r>
          </w:p>
        </w:tc>
      </w:tr>
    </w:tbl>
    <w:p w14:paraId="2B761140" w14:textId="77777777" w:rsidR="000334BF" w:rsidRDefault="000334BF"/>
    <w:p w14:paraId="6B809818" w14:textId="77777777" w:rsidR="000334BF" w:rsidRDefault="00000000">
      <w:r>
        <w:rPr>
          <w:b/>
        </w:rPr>
        <w:t>4. Projekt techniczny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72"/>
        <w:gridCol w:w="3462"/>
        <w:gridCol w:w="4396"/>
      </w:tblGrid>
      <w:tr w:rsidR="000334BF" w14:paraId="649A26BC" w14:textId="77777777">
        <w:trPr>
          <w:jc w:val="center"/>
        </w:trPr>
        <w:tc>
          <w:tcPr>
            <w:tcW w:w="850" w:type="dxa"/>
            <w:vAlign w:val="center"/>
          </w:tcPr>
          <w:p w14:paraId="3F57B460" w14:textId="77777777" w:rsidR="000334BF" w:rsidRDefault="00000000">
            <w:r>
              <w:rPr>
                <w:b/>
              </w:rPr>
              <w:t>Nr</w:t>
            </w:r>
          </w:p>
        </w:tc>
        <w:tc>
          <w:tcPr>
            <w:tcW w:w="3969" w:type="dxa"/>
            <w:vAlign w:val="center"/>
          </w:tcPr>
          <w:p w14:paraId="22AF90D5" w14:textId="77777777" w:rsidR="000334BF" w:rsidRDefault="00000000">
            <w:r>
              <w:rPr>
                <w:b/>
              </w:rPr>
              <w:t>Nazwa pierwotna (z pliku)</w:t>
            </w:r>
          </w:p>
        </w:tc>
        <w:tc>
          <w:tcPr>
            <w:tcW w:w="5102" w:type="dxa"/>
            <w:vAlign w:val="center"/>
          </w:tcPr>
          <w:p w14:paraId="4453F992" w14:textId="77777777" w:rsidR="000334BF" w:rsidRDefault="00000000">
            <w:r>
              <w:rPr>
                <w:b/>
              </w:rPr>
              <w:t>Opis ogólny (bez marek)</w:t>
            </w:r>
          </w:p>
        </w:tc>
      </w:tr>
      <w:tr w:rsidR="000334BF" w14:paraId="27724960" w14:textId="77777777">
        <w:trPr>
          <w:jc w:val="center"/>
        </w:trPr>
        <w:tc>
          <w:tcPr>
            <w:tcW w:w="850" w:type="dxa"/>
          </w:tcPr>
          <w:p w14:paraId="08CCEC31" w14:textId="77777777" w:rsidR="000334BF" w:rsidRDefault="00000000">
            <w:r>
              <w:t>4.1</w:t>
            </w:r>
          </w:p>
        </w:tc>
        <w:tc>
          <w:tcPr>
            <w:tcW w:w="3969" w:type="dxa"/>
          </w:tcPr>
          <w:p w14:paraId="388DCAE0" w14:textId="77777777" w:rsidR="000334BF" w:rsidRDefault="00000000">
            <w:r>
              <w:t>stolarka PORTA</w:t>
            </w:r>
          </w:p>
        </w:tc>
        <w:tc>
          <w:tcPr>
            <w:tcW w:w="5102" w:type="dxa"/>
          </w:tcPr>
          <w:p w14:paraId="32ACBA42" w14:textId="77777777" w:rsidR="000334BF" w:rsidRDefault="00000000">
            <w:r>
              <w:t>Stolarka drzwiowa wewnętrzna (drzwi z ościeżnicami) o parametrach i klasach zgodnych z projektem; dopuszcza się wyroby równoważne o parametrach nie gorszych.</w:t>
            </w:r>
          </w:p>
        </w:tc>
      </w:tr>
      <w:tr w:rsidR="000334BF" w14:paraId="135C3599" w14:textId="77777777">
        <w:trPr>
          <w:jc w:val="center"/>
        </w:trPr>
        <w:tc>
          <w:tcPr>
            <w:tcW w:w="850" w:type="dxa"/>
          </w:tcPr>
          <w:p w14:paraId="6675A1B8" w14:textId="77777777" w:rsidR="000334BF" w:rsidRDefault="00000000">
            <w:r>
              <w:t>4.2</w:t>
            </w:r>
          </w:p>
        </w:tc>
        <w:tc>
          <w:tcPr>
            <w:tcW w:w="3969" w:type="dxa"/>
          </w:tcPr>
          <w:p w14:paraId="49C9F260" w14:textId="77777777" w:rsidR="000334BF" w:rsidRDefault="00000000">
            <w:r>
              <w:t>ściany EUROLAN 3K</w:t>
            </w:r>
          </w:p>
        </w:tc>
        <w:tc>
          <w:tcPr>
            <w:tcW w:w="5102" w:type="dxa"/>
          </w:tcPr>
          <w:p w14:paraId="6364213E" w14:textId="77777777" w:rsidR="000334BF" w:rsidRDefault="00000000">
            <w:r>
              <w:t>Izolacja przeciwwilgociowa ścian – masa bitumiczna/KMB (2‑ lub 3‑składnikowa); dopuszcza się wyroby równoważne o parametrach nie gorszych.</w:t>
            </w:r>
          </w:p>
        </w:tc>
      </w:tr>
      <w:tr w:rsidR="000334BF" w14:paraId="0FBB1C41" w14:textId="77777777">
        <w:trPr>
          <w:jc w:val="center"/>
        </w:trPr>
        <w:tc>
          <w:tcPr>
            <w:tcW w:w="850" w:type="dxa"/>
          </w:tcPr>
          <w:p w14:paraId="5380DB8A" w14:textId="77777777" w:rsidR="000334BF" w:rsidRDefault="00000000">
            <w:r>
              <w:t>4.3</w:t>
            </w:r>
          </w:p>
        </w:tc>
        <w:tc>
          <w:tcPr>
            <w:tcW w:w="3969" w:type="dxa"/>
          </w:tcPr>
          <w:p w14:paraId="11731660" w14:textId="77777777" w:rsidR="000334BF" w:rsidRDefault="00000000">
            <w:r>
              <w:t>strop płyty Filigran</w:t>
            </w:r>
          </w:p>
        </w:tc>
        <w:tc>
          <w:tcPr>
            <w:tcW w:w="5102" w:type="dxa"/>
          </w:tcPr>
          <w:p w14:paraId="072E212B" w14:textId="77777777" w:rsidR="000334BF" w:rsidRDefault="00000000">
            <w:r>
              <w:t>Strop z prefabrykowanych płyt zespolonych typu filigran z nadbetonem, o parametrach zgodnych z projektem; dopuszcza się wyroby równoważne o parametrach nie gorszych.</w:t>
            </w:r>
          </w:p>
        </w:tc>
      </w:tr>
      <w:tr w:rsidR="000334BF" w14:paraId="65719553" w14:textId="77777777">
        <w:trPr>
          <w:jc w:val="center"/>
        </w:trPr>
        <w:tc>
          <w:tcPr>
            <w:tcW w:w="850" w:type="dxa"/>
          </w:tcPr>
          <w:p w14:paraId="1837B4D8" w14:textId="77777777" w:rsidR="000334BF" w:rsidRDefault="00000000">
            <w:r>
              <w:t>4.4</w:t>
            </w:r>
          </w:p>
        </w:tc>
        <w:tc>
          <w:tcPr>
            <w:tcW w:w="3969" w:type="dxa"/>
          </w:tcPr>
          <w:p w14:paraId="2C218408" w14:textId="77777777" w:rsidR="000334BF" w:rsidRDefault="00000000">
            <w:r>
              <w:t>papa nawierzchniowa VEDATECT EUROFLEX PYE PV 250 S5</w:t>
            </w:r>
          </w:p>
        </w:tc>
        <w:tc>
          <w:tcPr>
            <w:tcW w:w="5102" w:type="dxa"/>
          </w:tcPr>
          <w:p w14:paraId="1CD2FE46" w14:textId="77777777" w:rsidR="000334BF" w:rsidRDefault="00000000">
            <w:r>
              <w:t>Papa asfaltowa termozgrzewalna nawierzchniowa, modyfikowana SBS; osnowa poliestrowa ok. 250 g/m²; grubość ok. 5,0 mm; dopuszcza się wyroby równoważne o parametrach nie gorszych.</w:t>
            </w:r>
          </w:p>
        </w:tc>
      </w:tr>
      <w:tr w:rsidR="000334BF" w14:paraId="2CE349EB" w14:textId="77777777">
        <w:trPr>
          <w:jc w:val="center"/>
        </w:trPr>
        <w:tc>
          <w:tcPr>
            <w:tcW w:w="850" w:type="dxa"/>
          </w:tcPr>
          <w:p w14:paraId="517A7F72" w14:textId="77777777" w:rsidR="000334BF" w:rsidRDefault="00000000">
            <w:r>
              <w:t>4.5</w:t>
            </w:r>
          </w:p>
        </w:tc>
        <w:tc>
          <w:tcPr>
            <w:tcW w:w="3969" w:type="dxa"/>
          </w:tcPr>
          <w:p w14:paraId="637820A3" w14:textId="77777777" w:rsidR="000334BF" w:rsidRDefault="00000000">
            <w:r>
              <w:t>papa podkładowa VEDATOP SU</w:t>
            </w:r>
          </w:p>
        </w:tc>
        <w:tc>
          <w:tcPr>
            <w:tcW w:w="5102" w:type="dxa"/>
          </w:tcPr>
          <w:p w14:paraId="12890075" w14:textId="77777777" w:rsidR="000334BF" w:rsidRDefault="00000000">
            <w:r>
              <w:t>Papa asfaltowa termozgrzewalna podkładowa (warstwa podkładowa) o parametrach zgodnych z projektem; dopuszcza się wyroby równoważne o parametrach nie gorszych.</w:t>
            </w:r>
          </w:p>
        </w:tc>
      </w:tr>
    </w:tbl>
    <w:p w14:paraId="269785CD" w14:textId="77777777" w:rsidR="000334BF" w:rsidRDefault="000334BF"/>
    <w:p w14:paraId="1DF4E39D" w14:textId="77777777" w:rsidR="000334BF" w:rsidRDefault="00000000">
      <w:r>
        <w:rPr>
          <w:b/>
        </w:rPr>
        <w:t>5. Projekt techniczny instalacji sanitarnych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86"/>
        <w:gridCol w:w="3355"/>
        <w:gridCol w:w="4489"/>
      </w:tblGrid>
      <w:tr w:rsidR="000334BF" w14:paraId="493A707C" w14:textId="77777777">
        <w:trPr>
          <w:jc w:val="center"/>
        </w:trPr>
        <w:tc>
          <w:tcPr>
            <w:tcW w:w="850" w:type="dxa"/>
            <w:vAlign w:val="center"/>
          </w:tcPr>
          <w:p w14:paraId="56CCC537" w14:textId="77777777" w:rsidR="000334BF" w:rsidRDefault="00000000">
            <w:r>
              <w:rPr>
                <w:b/>
              </w:rPr>
              <w:t>Nr</w:t>
            </w:r>
          </w:p>
        </w:tc>
        <w:tc>
          <w:tcPr>
            <w:tcW w:w="3969" w:type="dxa"/>
            <w:vAlign w:val="center"/>
          </w:tcPr>
          <w:p w14:paraId="08B6BE41" w14:textId="77777777" w:rsidR="000334BF" w:rsidRDefault="00000000">
            <w:r>
              <w:rPr>
                <w:b/>
              </w:rPr>
              <w:t>Nazwa pierwotna (z pliku)</w:t>
            </w:r>
          </w:p>
        </w:tc>
        <w:tc>
          <w:tcPr>
            <w:tcW w:w="5102" w:type="dxa"/>
            <w:vAlign w:val="center"/>
          </w:tcPr>
          <w:p w14:paraId="65AD6CF9" w14:textId="77777777" w:rsidR="000334BF" w:rsidRDefault="00000000">
            <w:r>
              <w:rPr>
                <w:b/>
              </w:rPr>
              <w:t>Opis ogólny (bez marek)</w:t>
            </w:r>
          </w:p>
        </w:tc>
      </w:tr>
      <w:tr w:rsidR="000334BF" w14:paraId="7D1CD0ED" w14:textId="77777777">
        <w:trPr>
          <w:jc w:val="center"/>
        </w:trPr>
        <w:tc>
          <w:tcPr>
            <w:tcW w:w="850" w:type="dxa"/>
          </w:tcPr>
          <w:p w14:paraId="61FA31B1" w14:textId="77777777" w:rsidR="000334BF" w:rsidRDefault="00000000">
            <w:r>
              <w:t>5.1</w:t>
            </w:r>
          </w:p>
        </w:tc>
        <w:tc>
          <w:tcPr>
            <w:tcW w:w="3969" w:type="dxa"/>
          </w:tcPr>
          <w:p w14:paraId="56513BAD" w14:textId="77777777" w:rsidR="000334BF" w:rsidRDefault="00000000">
            <w:r>
              <w:t>pompa ciepła powietrze woda Silesia Therm ST Air 70</w:t>
            </w:r>
          </w:p>
        </w:tc>
        <w:tc>
          <w:tcPr>
            <w:tcW w:w="5102" w:type="dxa"/>
          </w:tcPr>
          <w:p w14:paraId="056B36AA" w14:textId="77777777" w:rsidR="000334BF" w:rsidRDefault="00000000">
            <w:r>
              <w:t>Pompa ciepła powietrze–woda (jednostka zewnętrzna) o mocy i parametrach dobranych do obliczeń projektowych; dopuszcza się wyroby równoważne o parametrach nie gorszych.</w:t>
            </w:r>
          </w:p>
        </w:tc>
      </w:tr>
      <w:tr w:rsidR="000334BF" w14:paraId="54682282" w14:textId="77777777">
        <w:trPr>
          <w:jc w:val="center"/>
        </w:trPr>
        <w:tc>
          <w:tcPr>
            <w:tcW w:w="850" w:type="dxa"/>
          </w:tcPr>
          <w:p w14:paraId="558804A4" w14:textId="77777777" w:rsidR="000334BF" w:rsidRDefault="00000000">
            <w:r>
              <w:t>5.2</w:t>
            </w:r>
          </w:p>
        </w:tc>
        <w:tc>
          <w:tcPr>
            <w:tcW w:w="3969" w:type="dxa"/>
          </w:tcPr>
          <w:p w14:paraId="5E26DAD2" w14:textId="77777777" w:rsidR="000334BF" w:rsidRDefault="00000000">
            <w:r>
              <w:t>kocioł gazowy Ecotherm PLUS WGB</w:t>
            </w:r>
          </w:p>
        </w:tc>
        <w:tc>
          <w:tcPr>
            <w:tcW w:w="5102" w:type="dxa"/>
          </w:tcPr>
          <w:p w14:paraId="13A5A2ED" w14:textId="77777777" w:rsidR="000334BF" w:rsidRDefault="00000000">
            <w:r>
              <w:t xml:space="preserve">Gazowy kocioł kondensacyjny o mocy dobranej </w:t>
            </w:r>
            <w:r>
              <w:lastRenderedPageBreak/>
              <w:t>do obliczeń projektowych; dopuszcza się wyroby równoważne o parametrach nie gorszych.</w:t>
            </w:r>
          </w:p>
        </w:tc>
      </w:tr>
      <w:tr w:rsidR="000334BF" w14:paraId="063AEE1B" w14:textId="77777777">
        <w:trPr>
          <w:jc w:val="center"/>
        </w:trPr>
        <w:tc>
          <w:tcPr>
            <w:tcW w:w="850" w:type="dxa"/>
          </w:tcPr>
          <w:p w14:paraId="3A00A8D9" w14:textId="77777777" w:rsidR="000334BF" w:rsidRDefault="00000000">
            <w:r>
              <w:lastRenderedPageBreak/>
              <w:t>5.3</w:t>
            </w:r>
          </w:p>
        </w:tc>
        <w:tc>
          <w:tcPr>
            <w:tcW w:w="3969" w:type="dxa"/>
          </w:tcPr>
          <w:p w14:paraId="465A5B95" w14:textId="77777777" w:rsidR="000334BF" w:rsidRDefault="00000000">
            <w:r>
              <w:t>naczynie wzbiorcze typu REFLEX NG200</w:t>
            </w:r>
          </w:p>
        </w:tc>
        <w:tc>
          <w:tcPr>
            <w:tcW w:w="5102" w:type="dxa"/>
          </w:tcPr>
          <w:p w14:paraId="1378394D" w14:textId="77777777" w:rsidR="000334BF" w:rsidRDefault="00000000">
            <w:r>
              <w:t>Przeponowe naczynie wzbiorcze do instalacji grzewczej o pojemności ok. 200 l; parametry ciśnieniowo‑temperaturowe zgodne z projektem; dopuszcza się wyroby równoważne o parametrach nie gorszych.</w:t>
            </w:r>
          </w:p>
        </w:tc>
      </w:tr>
      <w:tr w:rsidR="000334BF" w14:paraId="3D6FB82F" w14:textId="77777777">
        <w:trPr>
          <w:jc w:val="center"/>
        </w:trPr>
        <w:tc>
          <w:tcPr>
            <w:tcW w:w="850" w:type="dxa"/>
          </w:tcPr>
          <w:p w14:paraId="1DCD3EF4" w14:textId="77777777" w:rsidR="000334BF" w:rsidRDefault="00000000">
            <w:r>
              <w:t>5.4</w:t>
            </w:r>
          </w:p>
        </w:tc>
        <w:tc>
          <w:tcPr>
            <w:tcW w:w="3969" w:type="dxa"/>
          </w:tcPr>
          <w:p w14:paraId="65F4D282" w14:textId="77777777" w:rsidR="000334BF" w:rsidRDefault="00000000">
            <w:r>
              <w:t>zawór bezpieczeństwa membranowy firmy FLAMCO-WEMEFA typ PROCESOR 1”</w:t>
            </w:r>
          </w:p>
        </w:tc>
        <w:tc>
          <w:tcPr>
            <w:tcW w:w="5102" w:type="dxa"/>
          </w:tcPr>
          <w:p w14:paraId="7C3CA415" w14:textId="77777777" w:rsidR="000334BF" w:rsidRDefault="00000000">
            <w:r>
              <w:t>Zawór bezpieczeństwa membranowy do instalacji; przyłącze 1"; nastawa zgodna z projektem; dopuszcza się wyroby równoważne o parametrach nie gorszych.</w:t>
            </w:r>
          </w:p>
        </w:tc>
      </w:tr>
      <w:tr w:rsidR="000334BF" w14:paraId="4AE99DAE" w14:textId="77777777">
        <w:trPr>
          <w:jc w:val="center"/>
        </w:trPr>
        <w:tc>
          <w:tcPr>
            <w:tcW w:w="850" w:type="dxa"/>
          </w:tcPr>
          <w:p w14:paraId="01F9B4FA" w14:textId="77777777" w:rsidR="000334BF" w:rsidRDefault="00000000">
            <w:r>
              <w:t>5.5</w:t>
            </w:r>
          </w:p>
        </w:tc>
        <w:tc>
          <w:tcPr>
            <w:tcW w:w="3969" w:type="dxa"/>
          </w:tcPr>
          <w:p w14:paraId="63A07C63" w14:textId="77777777" w:rsidR="000334BF" w:rsidRDefault="00000000">
            <w:r>
              <w:t>pompa GRUNDFOSS MAGNA3 25-60</w:t>
            </w:r>
          </w:p>
        </w:tc>
        <w:tc>
          <w:tcPr>
            <w:tcW w:w="5102" w:type="dxa"/>
          </w:tcPr>
          <w:p w14:paraId="1ED0CA32" w14:textId="77777777" w:rsidR="000334BF" w:rsidRDefault="00000000">
            <w:r>
              <w:t>Elektroniczna pompa obiegowa z regulacją; DN25; wysokość podnoszenia do ok. 6 m; dopuszcza się wyroby równoważne o parametrach nie gorszych.</w:t>
            </w:r>
          </w:p>
        </w:tc>
      </w:tr>
      <w:tr w:rsidR="000334BF" w14:paraId="62206EE7" w14:textId="77777777">
        <w:trPr>
          <w:jc w:val="center"/>
        </w:trPr>
        <w:tc>
          <w:tcPr>
            <w:tcW w:w="850" w:type="dxa"/>
          </w:tcPr>
          <w:p w14:paraId="7F52FAEB" w14:textId="77777777" w:rsidR="000334BF" w:rsidRDefault="00000000">
            <w:r>
              <w:t>5.6</w:t>
            </w:r>
          </w:p>
        </w:tc>
        <w:tc>
          <w:tcPr>
            <w:tcW w:w="3969" w:type="dxa"/>
          </w:tcPr>
          <w:p w14:paraId="2D70F9FD" w14:textId="77777777" w:rsidR="000334BF" w:rsidRDefault="00000000">
            <w:r>
              <w:t>pompa GRUNDFOSS UPS 25-60 N 180</w:t>
            </w:r>
          </w:p>
        </w:tc>
        <w:tc>
          <w:tcPr>
            <w:tcW w:w="5102" w:type="dxa"/>
          </w:tcPr>
          <w:p w14:paraId="6233390C" w14:textId="77777777" w:rsidR="000334BF" w:rsidRDefault="00000000">
            <w:r>
              <w:t>Pompa obiegowa; DN25; wysokość podnoszenia do ok. 6 m; długość montażowa 180 mm; dopuszcza się wyroby równoważne o parametrach nie gorszych.</w:t>
            </w:r>
          </w:p>
        </w:tc>
      </w:tr>
      <w:tr w:rsidR="000334BF" w14:paraId="588D8A61" w14:textId="77777777">
        <w:trPr>
          <w:jc w:val="center"/>
        </w:trPr>
        <w:tc>
          <w:tcPr>
            <w:tcW w:w="850" w:type="dxa"/>
          </w:tcPr>
          <w:p w14:paraId="114B8331" w14:textId="77777777" w:rsidR="000334BF" w:rsidRDefault="00000000">
            <w:r>
              <w:t>5.7</w:t>
            </w:r>
          </w:p>
        </w:tc>
        <w:tc>
          <w:tcPr>
            <w:tcW w:w="3969" w:type="dxa"/>
          </w:tcPr>
          <w:p w14:paraId="18F4982A" w14:textId="77777777" w:rsidR="000334BF" w:rsidRDefault="00000000">
            <w:r>
              <w:t>naczynie wzbiorcze REFLEX N200</w:t>
            </w:r>
          </w:p>
        </w:tc>
        <w:tc>
          <w:tcPr>
            <w:tcW w:w="5102" w:type="dxa"/>
          </w:tcPr>
          <w:p w14:paraId="7A7E40EC" w14:textId="77777777" w:rsidR="000334BF" w:rsidRDefault="00000000">
            <w:r>
              <w:t>Przeponowe naczynie wzbiorcze o pojemności ok. 200 l; parametry ciśnieniowo‑temperaturowe zgodne z projektem; dopuszcza się wyroby równoważne o parametrach nie gorszych.</w:t>
            </w:r>
          </w:p>
        </w:tc>
      </w:tr>
      <w:tr w:rsidR="000334BF" w14:paraId="611ADCBC" w14:textId="77777777">
        <w:trPr>
          <w:jc w:val="center"/>
        </w:trPr>
        <w:tc>
          <w:tcPr>
            <w:tcW w:w="850" w:type="dxa"/>
          </w:tcPr>
          <w:p w14:paraId="490293C3" w14:textId="77777777" w:rsidR="000334BF" w:rsidRDefault="00000000">
            <w:r>
              <w:t>5.8</w:t>
            </w:r>
          </w:p>
        </w:tc>
        <w:tc>
          <w:tcPr>
            <w:tcW w:w="3969" w:type="dxa"/>
          </w:tcPr>
          <w:p w14:paraId="02EB8898" w14:textId="77777777" w:rsidR="000334BF" w:rsidRDefault="00000000">
            <w:r>
              <w:t>naczynie wzbiorcze REFLEX DD33</w:t>
            </w:r>
          </w:p>
        </w:tc>
        <w:tc>
          <w:tcPr>
            <w:tcW w:w="5102" w:type="dxa"/>
          </w:tcPr>
          <w:p w14:paraId="20E3E026" w14:textId="77777777" w:rsidR="000334BF" w:rsidRDefault="00000000">
            <w:r>
              <w:t>Przeponowe naczynie wzbiorcze o pojemności ok. 33 l; parametry ciśnieniowo‑temperaturowe zgodne z projektem; dopuszcza się wyroby równoważne o parametrach nie gorszych.</w:t>
            </w:r>
          </w:p>
        </w:tc>
      </w:tr>
      <w:tr w:rsidR="000334BF" w14:paraId="48BAD739" w14:textId="77777777">
        <w:trPr>
          <w:jc w:val="center"/>
        </w:trPr>
        <w:tc>
          <w:tcPr>
            <w:tcW w:w="850" w:type="dxa"/>
          </w:tcPr>
          <w:p w14:paraId="5E92FB5A" w14:textId="77777777" w:rsidR="000334BF" w:rsidRDefault="00000000">
            <w:r>
              <w:t>5.9</w:t>
            </w:r>
          </w:p>
        </w:tc>
        <w:tc>
          <w:tcPr>
            <w:tcW w:w="3969" w:type="dxa"/>
          </w:tcPr>
          <w:p w14:paraId="47C18A7B" w14:textId="77777777" w:rsidR="000334BF" w:rsidRDefault="00000000">
            <w:r>
              <w:t>podgrzewacz wody FISH poj. 1000l</w:t>
            </w:r>
          </w:p>
        </w:tc>
        <w:tc>
          <w:tcPr>
            <w:tcW w:w="5102" w:type="dxa"/>
          </w:tcPr>
          <w:p w14:paraId="66EA61E7" w14:textId="77777777" w:rsidR="000334BF" w:rsidRDefault="00000000">
            <w:r>
              <w:t>Zasobnik/podgrzewacz ciepłej wody użytkowej o pojemności ok. 1000 l (izolowany); dopuszcza się wyroby równoważne o parametrach nie gorszych.</w:t>
            </w:r>
          </w:p>
        </w:tc>
      </w:tr>
      <w:tr w:rsidR="000334BF" w14:paraId="31BEECD2" w14:textId="77777777">
        <w:trPr>
          <w:jc w:val="center"/>
        </w:trPr>
        <w:tc>
          <w:tcPr>
            <w:tcW w:w="850" w:type="dxa"/>
          </w:tcPr>
          <w:p w14:paraId="42DF8CA9" w14:textId="77777777" w:rsidR="000334BF" w:rsidRDefault="00000000">
            <w:r>
              <w:t>5.10</w:t>
            </w:r>
          </w:p>
        </w:tc>
        <w:tc>
          <w:tcPr>
            <w:tcW w:w="3969" w:type="dxa"/>
          </w:tcPr>
          <w:p w14:paraId="1523F8E7" w14:textId="77777777" w:rsidR="000334BF" w:rsidRDefault="00000000">
            <w:r>
              <w:t>system kominowy WADEX</w:t>
            </w:r>
          </w:p>
        </w:tc>
        <w:tc>
          <w:tcPr>
            <w:tcW w:w="5102" w:type="dxa"/>
          </w:tcPr>
          <w:p w14:paraId="201070AA" w14:textId="77777777" w:rsidR="000334BF" w:rsidRDefault="00000000">
            <w:r>
              <w:t>System kominowy / spalinowo‑powietrzny odporny na kondensat, dobrany do urządzeń i wymagań projektu; dopuszcza się wyroby równoważne o parametrach nie gorszych.</w:t>
            </w:r>
          </w:p>
        </w:tc>
      </w:tr>
      <w:tr w:rsidR="000334BF" w14:paraId="50590D6F" w14:textId="77777777">
        <w:trPr>
          <w:jc w:val="center"/>
        </w:trPr>
        <w:tc>
          <w:tcPr>
            <w:tcW w:w="850" w:type="dxa"/>
          </w:tcPr>
          <w:p w14:paraId="048FFD93" w14:textId="77777777" w:rsidR="000334BF" w:rsidRDefault="00000000">
            <w:r>
              <w:t>5.11</w:t>
            </w:r>
          </w:p>
        </w:tc>
        <w:tc>
          <w:tcPr>
            <w:tcW w:w="3969" w:type="dxa"/>
          </w:tcPr>
          <w:p w14:paraId="22FF963E" w14:textId="77777777" w:rsidR="000334BF" w:rsidRDefault="00000000">
            <w:r>
              <w:t>kocioł gazowy wiszący EcoTherm PLUS WGB 70</w:t>
            </w:r>
          </w:p>
        </w:tc>
        <w:tc>
          <w:tcPr>
            <w:tcW w:w="5102" w:type="dxa"/>
          </w:tcPr>
          <w:p w14:paraId="423397F3" w14:textId="77777777" w:rsidR="000334BF" w:rsidRDefault="00000000">
            <w:r>
              <w:t>Gazowy kocioł kondensacyjny wiszący o mocy ok. 70 kW (wg doboru projektowego); dopuszcza się wyroby równoważne o parametrach nie gorszych.</w:t>
            </w:r>
          </w:p>
        </w:tc>
      </w:tr>
      <w:tr w:rsidR="000334BF" w14:paraId="3B153D1C" w14:textId="77777777">
        <w:trPr>
          <w:jc w:val="center"/>
        </w:trPr>
        <w:tc>
          <w:tcPr>
            <w:tcW w:w="850" w:type="dxa"/>
          </w:tcPr>
          <w:p w14:paraId="03653218" w14:textId="77777777" w:rsidR="000334BF" w:rsidRDefault="00000000">
            <w:r>
              <w:t>5.12</w:t>
            </w:r>
          </w:p>
        </w:tc>
        <w:tc>
          <w:tcPr>
            <w:tcW w:w="3969" w:type="dxa"/>
          </w:tcPr>
          <w:p w14:paraId="5C3F833B" w14:textId="77777777" w:rsidR="000334BF" w:rsidRDefault="00000000">
            <w:r>
              <w:t>Hydrobox do pompy ciepła ST AIR SMART MAX 70 EV</w:t>
            </w:r>
          </w:p>
        </w:tc>
        <w:tc>
          <w:tcPr>
            <w:tcW w:w="5102" w:type="dxa"/>
          </w:tcPr>
          <w:p w14:paraId="0B9A5756" w14:textId="77777777" w:rsidR="000334BF" w:rsidRDefault="00000000">
            <w:r>
              <w:t>Moduł hydrauliczny (hydrobox) do pompy ciepła o mocy wg doboru projektowego (w tym wariancie ok. 70 kW), z osprzętem i automatyką; dopuszcza się wyroby równoważne o parametrach nie gorszych.</w:t>
            </w:r>
          </w:p>
        </w:tc>
      </w:tr>
      <w:tr w:rsidR="000334BF" w14:paraId="2622CE01" w14:textId="77777777">
        <w:trPr>
          <w:jc w:val="center"/>
        </w:trPr>
        <w:tc>
          <w:tcPr>
            <w:tcW w:w="850" w:type="dxa"/>
          </w:tcPr>
          <w:p w14:paraId="38D61DDC" w14:textId="77777777" w:rsidR="000334BF" w:rsidRDefault="00000000">
            <w:r>
              <w:t>5.13</w:t>
            </w:r>
          </w:p>
        </w:tc>
        <w:tc>
          <w:tcPr>
            <w:tcW w:w="3969" w:type="dxa"/>
          </w:tcPr>
          <w:p w14:paraId="09444DBA" w14:textId="77777777" w:rsidR="000334BF" w:rsidRDefault="00000000">
            <w:r>
              <w:t>zewnętrzna pompa ciepła ST Air 70 o mocy 70Kw</w:t>
            </w:r>
          </w:p>
        </w:tc>
        <w:tc>
          <w:tcPr>
            <w:tcW w:w="5102" w:type="dxa"/>
          </w:tcPr>
          <w:p w14:paraId="1C669304" w14:textId="77777777" w:rsidR="000334BF" w:rsidRDefault="00000000">
            <w:r>
              <w:t xml:space="preserve">Zewnętrzna pompa ciepła powietrze–woda o mocy nominalnej ok. 70 kW (wg doboru </w:t>
            </w:r>
            <w:r>
              <w:lastRenderedPageBreak/>
              <w:t>projektowego); dopuszcza się wyroby równoważne o parametrach nie gorszych.</w:t>
            </w:r>
          </w:p>
        </w:tc>
      </w:tr>
      <w:tr w:rsidR="000334BF" w14:paraId="0072BA6B" w14:textId="77777777">
        <w:trPr>
          <w:jc w:val="center"/>
        </w:trPr>
        <w:tc>
          <w:tcPr>
            <w:tcW w:w="850" w:type="dxa"/>
          </w:tcPr>
          <w:p w14:paraId="2045D621" w14:textId="77777777" w:rsidR="000334BF" w:rsidRDefault="00000000">
            <w:r>
              <w:lastRenderedPageBreak/>
              <w:t>5.14</w:t>
            </w:r>
          </w:p>
        </w:tc>
        <w:tc>
          <w:tcPr>
            <w:tcW w:w="3969" w:type="dxa"/>
          </w:tcPr>
          <w:p w14:paraId="32347AB1" w14:textId="77777777" w:rsidR="000334BF" w:rsidRDefault="00000000">
            <w:r>
              <w:t>gazowy kocioł kondensacyjny WGB 70</w:t>
            </w:r>
          </w:p>
        </w:tc>
        <w:tc>
          <w:tcPr>
            <w:tcW w:w="5102" w:type="dxa"/>
          </w:tcPr>
          <w:p w14:paraId="2253B5D0" w14:textId="77777777" w:rsidR="000334BF" w:rsidRDefault="00000000">
            <w:r>
              <w:t>Gazowy kocioł kondensacyjny o mocy ok. 70 kW (wg doboru projektowego); dopuszcza się wyroby równoważne o parametrach nie gorszych.</w:t>
            </w:r>
          </w:p>
        </w:tc>
      </w:tr>
      <w:tr w:rsidR="000334BF" w14:paraId="316CEAF6" w14:textId="77777777">
        <w:trPr>
          <w:jc w:val="center"/>
        </w:trPr>
        <w:tc>
          <w:tcPr>
            <w:tcW w:w="850" w:type="dxa"/>
          </w:tcPr>
          <w:p w14:paraId="4C6643C8" w14:textId="77777777" w:rsidR="000334BF" w:rsidRDefault="00000000">
            <w:r>
              <w:t>5.15</w:t>
            </w:r>
          </w:p>
        </w:tc>
        <w:tc>
          <w:tcPr>
            <w:tcW w:w="3969" w:type="dxa"/>
          </w:tcPr>
          <w:p w14:paraId="0A43303E" w14:textId="77777777" w:rsidR="000334BF" w:rsidRDefault="00000000">
            <w:r>
              <w:t>pompa obiegu grzewczego MAGNA3 25-60N</w:t>
            </w:r>
          </w:p>
        </w:tc>
        <w:tc>
          <w:tcPr>
            <w:tcW w:w="5102" w:type="dxa"/>
          </w:tcPr>
          <w:p w14:paraId="4E9E7EA2" w14:textId="77777777" w:rsidR="000334BF" w:rsidRDefault="00000000">
            <w:r>
              <w:t>Pompa obiegu grzewczego (energooszczędna, z regulacją); DN25; wysokość podnoszenia do ok. 6 m; dopuszcza się wyroby równoważne o parametrach nie gorszych.</w:t>
            </w:r>
          </w:p>
        </w:tc>
      </w:tr>
      <w:tr w:rsidR="000334BF" w14:paraId="0B7DD03D" w14:textId="77777777">
        <w:trPr>
          <w:jc w:val="center"/>
        </w:trPr>
        <w:tc>
          <w:tcPr>
            <w:tcW w:w="850" w:type="dxa"/>
          </w:tcPr>
          <w:p w14:paraId="3A7EBE9A" w14:textId="77777777" w:rsidR="000334BF" w:rsidRDefault="00000000">
            <w:r>
              <w:t>5.16</w:t>
            </w:r>
          </w:p>
        </w:tc>
        <w:tc>
          <w:tcPr>
            <w:tcW w:w="3969" w:type="dxa"/>
          </w:tcPr>
          <w:p w14:paraId="2B62EE9E" w14:textId="77777777" w:rsidR="000334BF" w:rsidRDefault="00000000">
            <w:r>
              <w:t>pompa obiegu ładowania c.w.u. MAGNA3 25-60 N</w:t>
            </w:r>
          </w:p>
        </w:tc>
        <w:tc>
          <w:tcPr>
            <w:tcW w:w="5102" w:type="dxa"/>
          </w:tcPr>
          <w:p w14:paraId="0D68E09E" w14:textId="77777777" w:rsidR="000334BF" w:rsidRDefault="00000000">
            <w:r>
              <w:t>Pompa obiegu ładowania c.w.u. (energooszczędna, z regulacją); DN25; wysokość podnoszenia do ok. 6 m; dopuszcza się wyroby równoważne o parametrach nie gorszych.</w:t>
            </w:r>
          </w:p>
        </w:tc>
      </w:tr>
      <w:tr w:rsidR="000334BF" w14:paraId="756B1BF5" w14:textId="77777777">
        <w:trPr>
          <w:jc w:val="center"/>
        </w:trPr>
        <w:tc>
          <w:tcPr>
            <w:tcW w:w="850" w:type="dxa"/>
          </w:tcPr>
          <w:p w14:paraId="74AA6888" w14:textId="77777777" w:rsidR="000334BF" w:rsidRDefault="00000000">
            <w:r>
              <w:t>5.17</w:t>
            </w:r>
          </w:p>
        </w:tc>
        <w:tc>
          <w:tcPr>
            <w:tcW w:w="3969" w:type="dxa"/>
          </w:tcPr>
          <w:p w14:paraId="48792856" w14:textId="77777777" w:rsidR="000334BF" w:rsidRDefault="00000000">
            <w:r>
              <w:t>naczynie wzbiorcze REFLEX DD33</w:t>
            </w:r>
          </w:p>
        </w:tc>
        <w:tc>
          <w:tcPr>
            <w:tcW w:w="5102" w:type="dxa"/>
          </w:tcPr>
          <w:p w14:paraId="6B0D39B1" w14:textId="77777777" w:rsidR="000334BF" w:rsidRDefault="00000000">
            <w:r>
              <w:t>Przeponowe naczynie wzbiorcze o pojemności ok. 33 l; parametry ciśnieniowo‑temperaturowe zgodne z projektem; dopuszcza się wyroby równoważne o parametrach nie gorszych.</w:t>
            </w:r>
          </w:p>
        </w:tc>
      </w:tr>
      <w:tr w:rsidR="000334BF" w14:paraId="78CDA5F6" w14:textId="77777777">
        <w:trPr>
          <w:jc w:val="center"/>
        </w:trPr>
        <w:tc>
          <w:tcPr>
            <w:tcW w:w="850" w:type="dxa"/>
          </w:tcPr>
          <w:p w14:paraId="291C6C22" w14:textId="77777777" w:rsidR="000334BF" w:rsidRDefault="00000000">
            <w:r>
              <w:t>5.18</w:t>
            </w:r>
          </w:p>
        </w:tc>
        <w:tc>
          <w:tcPr>
            <w:tcW w:w="3969" w:type="dxa"/>
          </w:tcPr>
          <w:p w14:paraId="426D1E02" w14:textId="77777777" w:rsidR="000334BF" w:rsidRDefault="00000000">
            <w:r>
              <w:t>pompa cyrkulacyjna ALPHA1 20-60 150</w:t>
            </w:r>
          </w:p>
        </w:tc>
        <w:tc>
          <w:tcPr>
            <w:tcW w:w="5102" w:type="dxa"/>
          </w:tcPr>
          <w:p w14:paraId="6F24FB68" w14:textId="77777777" w:rsidR="000334BF" w:rsidRDefault="00000000">
            <w:r>
              <w:t>Pompa cyrkulacyjna do c.w.u.; DN20; wysokość podnoszenia do ok. 6 m; długość montażowa 150 mm; dopuszcza się wyroby równoważne o parametrach nie gorszych.</w:t>
            </w:r>
          </w:p>
        </w:tc>
      </w:tr>
    </w:tbl>
    <w:p w14:paraId="0464BED7" w14:textId="77777777" w:rsidR="00DA1340" w:rsidRDefault="00DA1340"/>
    <w:sectPr w:rsidR="00DA1340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anumerowan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anumerowan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apunktowana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apunktowan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37935590">
    <w:abstractNumId w:val="8"/>
  </w:num>
  <w:num w:numId="2" w16cid:durableId="2089034532">
    <w:abstractNumId w:val="6"/>
  </w:num>
  <w:num w:numId="3" w16cid:durableId="1275018435">
    <w:abstractNumId w:val="5"/>
  </w:num>
  <w:num w:numId="4" w16cid:durableId="2099671189">
    <w:abstractNumId w:val="4"/>
  </w:num>
  <w:num w:numId="5" w16cid:durableId="94905369">
    <w:abstractNumId w:val="7"/>
  </w:num>
  <w:num w:numId="6" w16cid:durableId="1811245024">
    <w:abstractNumId w:val="3"/>
  </w:num>
  <w:num w:numId="7" w16cid:durableId="1241791896">
    <w:abstractNumId w:val="2"/>
  </w:num>
  <w:num w:numId="8" w16cid:durableId="216747850">
    <w:abstractNumId w:val="1"/>
  </w:num>
  <w:num w:numId="9" w16cid:durableId="830869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34BF"/>
    <w:rsid w:val="00034616"/>
    <w:rsid w:val="0006063C"/>
    <w:rsid w:val="0015074B"/>
    <w:rsid w:val="0029639D"/>
    <w:rsid w:val="00326F90"/>
    <w:rsid w:val="00AA1D8D"/>
    <w:rsid w:val="00B47730"/>
    <w:rsid w:val="00B72DE8"/>
    <w:rsid w:val="00C2000E"/>
    <w:rsid w:val="00CB0664"/>
    <w:rsid w:val="00DA1340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59569C"/>
  <w14:defaultImageDpi w14:val="300"/>
  <w15:docId w15:val="{BE3616E9-5300-4C49-BAE8-C078B70FA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93F"/>
    <w:rPr>
      <w:rFonts w:ascii="Calibri" w:eastAsia="Calibri" w:hAnsi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18BF"/>
  </w:style>
  <w:style w:type="paragraph" w:styleId="Stopka">
    <w:name w:val="footer"/>
    <w:basedOn w:val="Normalny"/>
    <w:link w:val="StopkaZnak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18BF"/>
  </w:style>
  <w:style w:type="paragraph" w:styleId="Bezodstpw">
    <w:name w:val="No Spacing"/>
    <w:uiPriority w:val="1"/>
    <w:qFormat/>
    <w:rsid w:val="00FC693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next w:val="Normalny"/>
    <w:link w:val="TytuZnak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kapitzlist">
    <w:name w:val="List Paragraph"/>
    <w:basedOn w:val="Normalny"/>
    <w:uiPriority w:val="34"/>
    <w:qFormat/>
    <w:rsid w:val="00FC693F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A1D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A1D8D"/>
  </w:style>
  <w:style w:type="paragraph" w:styleId="Tekstpodstawowy2">
    <w:name w:val="Body Text 2"/>
    <w:basedOn w:val="Normalny"/>
    <w:link w:val="Tekstpodstawowy2Znak"/>
    <w:uiPriority w:val="99"/>
    <w:unhideWhenUsed/>
    <w:rsid w:val="00AA1D8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A1D8D"/>
  </w:style>
  <w:style w:type="paragraph" w:styleId="Tekstpodstawowy3">
    <w:name w:val="Body Text 3"/>
    <w:basedOn w:val="Normalny"/>
    <w:link w:val="Tekstpodstawowy3Znak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A1D8D"/>
    <w:rPr>
      <w:sz w:val="16"/>
      <w:szCs w:val="16"/>
    </w:rPr>
  </w:style>
  <w:style w:type="paragraph" w:styleId="Lista">
    <w:name w:val="List"/>
    <w:basedOn w:val="Normalny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ny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ny"/>
    <w:uiPriority w:val="99"/>
    <w:unhideWhenUsed/>
    <w:rsid w:val="00326F90"/>
    <w:pPr>
      <w:ind w:left="1080" w:hanging="360"/>
      <w:contextualSpacing/>
    </w:pPr>
  </w:style>
  <w:style w:type="paragraph" w:styleId="Listapunktowana">
    <w:name w:val="List Bullet"/>
    <w:basedOn w:val="Normalny"/>
    <w:uiPriority w:val="99"/>
    <w:unhideWhenUsed/>
    <w:rsid w:val="00326F90"/>
    <w:pPr>
      <w:numPr>
        <w:numId w:val="1"/>
      </w:numPr>
      <w:contextualSpacing/>
    </w:pPr>
  </w:style>
  <w:style w:type="paragraph" w:styleId="Listapunktowana2">
    <w:name w:val="List Bullet 2"/>
    <w:basedOn w:val="Normalny"/>
    <w:uiPriority w:val="99"/>
    <w:unhideWhenUsed/>
    <w:rsid w:val="00326F90"/>
    <w:pPr>
      <w:numPr>
        <w:numId w:val="2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326F90"/>
    <w:pPr>
      <w:numPr>
        <w:numId w:val="3"/>
      </w:numPr>
      <w:contextualSpacing/>
    </w:pPr>
  </w:style>
  <w:style w:type="paragraph" w:styleId="Listanumerowana">
    <w:name w:val="List Number"/>
    <w:basedOn w:val="Normalny"/>
    <w:uiPriority w:val="99"/>
    <w:unhideWhenUsed/>
    <w:rsid w:val="00326F90"/>
    <w:pPr>
      <w:numPr>
        <w:numId w:val="5"/>
      </w:numPr>
      <w:contextualSpacing/>
    </w:pPr>
  </w:style>
  <w:style w:type="paragraph" w:styleId="Listanumerowana2">
    <w:name w:val="List Number 2"/>
    <w:basedOn w:val="Normalny"/>
    <w:uiPriority w:val="99"/>
    <w:unhideWhenUsed/>
    <w:rsid w:val="0029639D"/>
    <w:pPr>
      <w:numPr>
        <w:numId w:val="6"/>
      </w:numPr>
      <w:contextualSpacing/>
    </w:pPr>
  </w:style>
  <w:style w:type="paragraph" w:styleId="Listanumerowana3">
    <w:name w:val="List Number 3"/>
    <w:basedOn w:val="Normalny"/>
    <w:uiPriority w:val="99"/>
    <w:unhideWhenUsed/>
    <w:rsid w:val="0029639D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29639D"/>
    <w:pPr>
      <w:spacing w:after="120"/>
      <w:ind w:left="360"/>
      <w:contextualSpacing/>
    </w:pPr>
  </w:style>
  <w:style w:type="paragraph" w:styleId="Lista-kontynuacja2">
    <w:name w:val="List Continue 2"/>
    <w:basedOn w:val="Normalny"/>
    <w:uiPriority w:val="99"/>
    <w:unhideWhenUsed/>
    <w:rsid w:val="0029639D"/>
    <w:pPr>
      <w:spacing w:after="120"/>
      <w:ind w:left="720"/>
      <w:contextualSpacing/>
    </w:pPr>
  </w:style>
  <w:style w:type="paragraph" w:styleId="Lista-kontynuacja3">
    <w:name w:val="List Continue 3"/>
    <w:basedOn w:val="Normalny"/>
    <w:uiPriority w:val="99"/>
    <w:unhideWhenUsed/>
    <w:rsid w:val="0029639D"/>
    <w:pPr>
      <w:spacing w:after="120"/>
      <w:ind w:left="1080"/>
      <w:contextualSpacing/>
    </w:pPr>
  </w:style>
  <w:style w:type="paragraph" w:styleId="Tekstmakra">
    <w:name w:val="macro"/>
    <w:link w:val="TekstmakraZnak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kstmakraZnak">
    <w:name w:val="Tekst makra Znak"/>
    <w:basedOn w:val="Domylnaczcionkaakapitu"/>
    <w:link w:val="Tekstmakra"/>
    <w:uiPriority w:val="99"/>
    <w:rsid w:val="0029639D"/>
    <w:rPr>
      <w:rFonts w:ascii="Courier" w:hAnsi="Courier"/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FC693F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C693F"/>
    <w:rPr>
      <w:i/>
      <w:i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FC693F"/>
    <w:rPr>
      <w:b/>
      <w:bCs/>
    </w:rPr>
  </w:style>
  <w:style w:type="character" w:styleId="Uwydatnienie">
    <w:name w:val="Emphasis"/>
    <w:basedOn w:val="Domylnaczcionkaakapitu"/>
    <w:uiPriority w:val="20"/>
    <w:qFormat/>
    <w:rsid w:val="00FC693F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693F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C693F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C693F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C693F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C693F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693F"/>
    <w:pPr>
      <w:outlineLvl w:val="9"/>
    </w:pPr>
  </w:style>
  <w:style w:type="table" w:styleId="Tabela-Siatka">
    <w:name w:val="Table Grid"/>
    <w:basedOn w:val="Standardowy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Jasnalista">
    <w:name w:val="Light List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asiatka">
    <w:name w:val="Light Grid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redniecieniowanie1">
    <w:name w:val="Medium Shading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iemnalista">
    <w:name w:val="Dark List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Kolorowecieniowanie">
    <w:name w:val="Colorful Shading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alista">
    <w:name w:val="Colorful List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asiatka">
    <w:name w:val="Colorful Grid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1008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7047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David Sudson</cp:lastModifiedBy>
  <cp:revision>2</cp:revision>
  <dcterms:created xsi:type="dcterms:W3CDTF">2025-12-29T20:05:00Z</dcterms:created>
  <dcterms:modified xsi:type="dcterms:W3CDTF">2025-12-29T20:05:00Z</dcterms:modified>
  <cp:category/>
</cp:coreProperties>
</file>